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2E907" w14:textId="12F956BF" w:rsidR="006B2AB0" w:rsidRPr="006B2AB0" w:rsidRDefault="006B2AB0" w:rsidP="006B2AB0">
      <w:pPr>
        <w:pStyle w:val="Heading1"/>
        <w:rPr>
          <w:lang w:val="en-GB"/>
        </w:rPr>
      </w:pPr>
      <w:r w:rsidRPr="006B2AB0">
        <w:rPr>
          <w:lang w:val="en-GB"/>
        </w:rPr>
        <w:t>Who’s Afraid of Gender?</w:t>
      </w:r>
      <w:r>
        <w:rPr>
          <w:lang w:val="en-GB"/>
        </w:rPr>
        <w:t xml:space="preserve"> – Judith Butler</w:t>
      </w:r>
    </w:p>
    <w:p w14:paraId="16AE0A91" w14:textId="77777777" w:rsidR="006B2AB0" w:rsidRPr="006B2AB0" w:rsidRDefault="006B2AB0" w:rsidP="006B2AB0">
      <w:pPr>
        <w:rPr>
          <w:lang w:val="en-GB"/>
        </w:rPr>
      </w:pPr>
    </w:p>
    <w:p w14:paraId="0E737FAC" w14:textId="597272E1" w:rsidR="006B2AB0" w:rsidRPr="006B2AB0" w:rsidRDefault="006B2AB0" w:rsidP="006B2AB0">
      <w:pPr>
        <w:rPr>
          <w:lang w:val="en-GB"/>
        </w:rPr>
      </w:pPr>
      <w:r w:rsidRPr="006B2AB0">
        <w:rPr>
          <w:lang w:val="en-GB"/>
        </w:rPr>
        <w:t xml:space="preserve">The event </w:t>
      </w:r>
      <w:proofErr w:type="spellStart"/>
      <w:r w:rsidRPr="006B2AB0">
        <w:rPr>
          <w:lang w:val="en-GB"/>
        </w:rPr>
        <w:t>centered</w:t>
      </w:r>
      <w:proofErr w:type="spellEnd"/>
      <w:r w:rsidRPr="006B2AB0">
        <w:rPr>
          <w:lang w:val="en-GB"/>
        </w:rPr>
        <w:t xml:space="preserve"> on Judith Butler’s book </w:t>
      </w:r>
      <w:r w:rsidRPr="006B2AB0">
        <w:rPr>
          <w:i/>
          <w:iCs/>
          <w:lang w:val="en-GB"/>
        </w:rPr>
        <w:t>Who’s Afraid of Gender?</w:t>
      </w:r>
      <w:r w:rsidRPr="006B2AB0">
        <w:rPr>
          <w:lang w:val="en-GB"/>
        </w:rPr>
        <w:t xml:space="preserve">, which examines the global rise of anti-gender ideology—an elastic coalition that absorbs disparate beliefs and produces a consistent set of accusations: that “gender” destroys the family, threatens children, licenses </w:t>
      </w:r>
      <w:proofErr w:type="spellStart"/>
      <w:r w:rsidRPr="006B2AB0">
        <w:rPr>
          <w:lang w:val="en-GB"/>
        </w:rPr>
        <w:t>pedophilia</w:t>
      </w:r>
      <w:proofErr w:type="spellEnd"/>
      <w:r w:rsidRPr="006B2AB0">
        <w:rPr>
          <w:lang w:val="en-GB"/>
        </w:rPr>
        <w:t>, and undermines social order. The discussion explored why Butler has become a symbolic adversary for parts of this movement, how the movement works across countries and institutions, and what kinds of solidarities and freedoms might counter it.</w:t>
      </w:r>
    </w:p>
    <w:p w14:paraId="7FF5AFEA" w14:textId="77777777" w:rsidR="006B2AB0" w:rsidRPr="006B2AB0" w:rsidRDefault="006B2AB0" w:rsidP="006B2AB0">
      <w:pPr>
        <w:rPr>
          <w:lang w:val="en-GB"/>
        </w:rPr>
      </w:pPr>
      <w:r w:rsidRPr="006B2AB0">
        <w:rPr>
          <w:lang w:val="en-GB"/>
        </w:rPr>
        <w:t>Although Butler is sometimes singled out as a chief culprit by religious and political actors, they note this is uneven. In some contexts, such as early Vatican attacks on “gender,” other figures (e.g., Anne Fausto-Sterling) were targeted as supposed advocates of multiple sexes—a prospect that clashes with the Vatican’s theological insistence on a God-given male/female duality. In other regions—France and parts of Latin America, for instance—Butler became a shorthand for “gender ideology,” accused of threatening children, indoctrinating youth, or normalizing homosexuality. Butler points out the projection at work when institutions like churches, with well-documented abuse scandals, accuse universities and gender studies of harming children.</w:t>
      </w:r>
    </w:p>
    <w:p w14:paraId="0F6A9A53" w14:textId="77777777" w:rsidR="006B2AB0" w:rsidRPr="006B2AB0" w:rsidRDefault="006B2AB0" w:rsidP="006B2AB0">
      <w:pPr>
        <w:rPr>
          <w:lang w:val="en-GB"/>
        </w:rPr>
      </w:pPr>
      <w:r w:rsidRPr="006B2AB0">
        <w:rPr>
          <w:lang w:val="en-GB"/>
        </w:rPr>
        <w:t xml:space="preserve">Butler’s awareness of the movement sharpened during travels and exchanges with scholars in Hungary, Poland, France, Belgium, Switzerland, Chile, and especially Brazil, where the hostility toward “gender” became overtly violent. That experience convinced them to address both the violence and the paradox: at the very moment when academic gender studies had been critiquing itself (integrating race, class, disability, coloniality, capitalism) and became almost “mainstream,” the right strategically isolated “gender,” much as it has isolated “critical race theory,” to attack it as a freestanding threat. The anti-gender campaign, Butler argues, feeds on panic about children and weaponizes institutions against teachers, </w:t>
      </w:r>
      <w:proofErr w:type="spellStart"/>
      <w:r w:rsidRPr="006B2AB0">
        <w:rPr>
          <w:lang w:val="en-GB"/>
        </w:rPr>
        <w:t>counselors</w:t>
      </w:r>
      <w:proofErr w:type="spellEnd"/>
      <w:r w:rsidRPr="006B2AB0">
        <w:rPr>
          <w:lang w:val="en-GB"/>
        </w:rPr>
        <w:t>, psychologists, and parents, as seen in U.S. states that criminalize gender-affirming care for youth and even penalize adults who try to help.</w:t>
      </w:r>
    </w:p>
    <w:p w14:paraId="07AF0E70" w14:textId="77777777" w:rsidR="006B2AB0" w:rsidRPr="006B2AB0" w:rsidRDefault="006B2AB0" w:rsidP="006B2AB0">
      <w:pPr>
        <w:rPr>
          <w:lang w:val="en-GB"/>
        </w:rPr>
      </w:pPr>
      <w:r w:rsidRPr="006B2AB0">
        <w:rPr>
          <w:lang w:val="en-GB"/>
        </w:rPr>
        <w:t>A generational dimension shapes this conflict. Conservative leaders, often older, confront younger people who increasingly identify as gay, trans, or non-binary despite familial and institutional pressure. Attempts to reinstall binary gender as a natural, national mandate (as in Hungary, Russia, and, Butler suggests, possibly Italy under Giorgia Meloni) are reactions to the tangible successes of progressive laws and social movements worldwide. The “restoration” the right desires, Butler contends, is a fascist fantasy: binary gender will not return to its former ideological centrality.</w:t>
      </w:r>
    </w:p>
    <w:p w14:paraId="61C99F93" w14:textId="77777777" w:rsidR="006B2AB0" w:rsidRPr="006B2AB0" w:rsidRDefault="006B2AB0" w:rsidP="006B2AB0">
      <w:pPr>
        <w:rPr>
          <w:lang w:val="en-GB"/>
        </w:rPr>
      </w:pPr>
      <w:r w:rsidRPr="006B2AB0">
        <w:rPr>
          <w:lang w:val="en-GB"/>
        </w:rPr>
        <w:lastRenderedPageBreak/>
        <w:t>The book’s intended audience is not the entrenched far right—many of whom will refuse engagement—but the intelligent, uncertain “middle”: people who hear the accusations, encounter pronoun changes at home or school, and feel genuinely confused. Butler aims for calm clarification rather than rallying the already persuaded, laying out what gender is and is not, addressing charges that it erases bodily materiality or is merely “fiction,” and explaining how contradictory claims get held together within a “</w:t>
      </w:r>
      <w:proofErr w:type="spellStart"/>
      <w:r w:rsidRPr="006B2AB0">
        <w:rPr>
          <w:lang w:val="en-GB"/>
        </w:rPr>
        <w:t>fantasmatic</w:t>
      </w:r>
      <w:proofErr w:type="spellEnd"/>
      <w:r w:rsidRPr="006B2AB0">
        <w:rPr>
          <w:lang w:val="en-GB"/>
        </w:rPr>
        <w:t>” structure (a psycho-social scene in which disparate elements cohere through fear and fantasy). Butler deliberately keeps theoretical density lighter than in earlier works, retaining necessary concepts (like the “</w:t>
      </w:r>
      <w:proofErr w:type="spellStart"/>
      <w:r w:rsidRPr="006B2AB0">
        <w:rPr>
          <w:lang w:val="en-GB"/>
        </w:rPr>
        <w:t>fantasmatic</w:t>
      </w:r>
      <w:proofErr w:type="spellEnd"/>
      <w:r w:rsidRPr="006B2AB0">
        <w:rPr>
          <w:lang w:val="en-GB"/>
        </w:rPr>
        <w:t>”) without detouring into technical exegesis.</w:t>
      </w:r>
    </w:p>
    <w:p w14:paraId="0EFBAFC9" w14:textId="77777777" w:rsidR="006B2AB0" w:rsidRPr="006B2AB0" w:rsidRDefault="006B2AB0" w:rsidP="006B2AB0">
      <w:pPr>
        <w:rPr>
          <w:lang w:val="en-GB"/>
        </w:rPr>
      </w:pPr>
      <w:r w:rsidRPr="006B2AB0">
        <w:rPr>
          <w:lang w:val="en-GB"/>
        </w:rPr>
        <w:t>Returning to the sex/gender debate, Butler addresses a long-standing misreading: they do not deny bodily reality. Rather, they examine how “sex” is assigned, lived, affirmed, revised, and institutionalized over time. Sex assignment is a material social practice carried out by authorized institutions (medical, legal, administrative) that establish lived conditions and categories, often inconsistently across jurisdictions. Even those content with their assignment reiterate it daily; others contest and reassign themselves, mobilizing technologies (hormones, surgery), documents, and institutions to make their sex real within social reality. Insisting on “the real body” as pure biological fact ignores the historical and institutional processes by which bodies are named, recognized, and governed. The current fights often hinge less on argument than on declarative assertions designed to foreclose thought.</w:t>
      </w:r>
    </w:p>
    <w:p w14:paraId="68935C47" w14:textId="77777777" w:rsidR="006B2AB0" w:rsidRPr="006B2AB0" w:rsidRDefault="006B2AB0" w:rsidP="006B2AB0">
      <w:pPr>
        <w:rPr>
          <w:lang w:val="en-GB"/>
        </w:rPr>
      </w:pPr>
      <w:r w:rsidRPr="006B2AB0">
        <w:rPr>
          <w:lang w:val="en-GB"/>
        </w:rPr>
        <w:t xml:space="preserve">The book also revisits and updates earlier concepts (like performativity) without rewriting </w:t>
      </w:r>
      <w:r w:rsidRPr="006B2AB0">
        <w:rPr>
          <w:i/>
          <w:iCs/>
          <w:lang w:val="en-GB"/>
        </w:rPr>
        <w:t>Gender Trouble</w:t>
      </w:r>
      <w:r w:rsidRPr="006B2AB0">
        <w:rPr>
          <w:lang w:val="en-GB"/>
        </w:rPr>
        <w:t>. Butler acknowledges significant evolution in their thinking since the 1990 publication and credits robust critiques for that development.</w:t>
      </w:r>
    </w:p>
    <w:p w14:paraId="7847FAB6" w14:textId="77777777" w:rsidR="006B2AB0" w:rsidRPr="006B2AB0" w:rsidRDefault="006B2AB0" w:rsidP="006B2AB0">
      <w:pPr>
        <w:rPr>
          <w:lang w:val="en-GB"/>
        </w:rPr>
      </w:pPr>
      <w:r w:rsidRPr="006B2AB0">
        <w:rPr>
          <w:lang w:val="en-GB"/>
        </w:rPr>
        <w:t>On a personal note, Butler publicly identifies as non-binary. For them, non-</w:t>
      </w:r>
      <w:proofErr w:type="spellStart"/>
      <w:r w:rsidRPr="006B2AB0">
        <w:rPr>
          <w:lang w:val="en-GB"/>
        </w:rPr>
        <w:t>binariness</w:t>
      </w:r>
      <w:proofErr w:type="spellEnd"/>
      <w:r w:rsidRPr="006B2AB0">
        <w:rPr>
          <w:lang w:val="en-GB"/>
        </w:rPr>
        <w:t xml:space="preserve"> names a durable disidentification with gender categories rather than a fixed new essence. It’s less a neoliberal self-styling than a way to inhabit language without being fully captured by it, while still accepting the interpellations that occur in everyday life and maintaining solidarity with others. Non-binary’s appeal among young people—and the anxiety it provokes—underscores both its symbolic refusal and its practical usefulness.</w:t>
      </w:r>
    </w:p>
    <w:p w14:paraId="7C6A2009" w14:textId="77777777" w:rsidR="006B2AB0" w:rsidRPr="006B2AB0" w:rsidRDefault="006B2AB0" w:rsidP="006B2AB0">
      <w:pPr>
        <w:rPr>
          <w:lang w:val="en-GB"/>
        </w:rPr>
      </w:pPr>
      <w:r w:rsidRPr="006B2AB0">
        <w:rPr>
          <w:lang w:val="en-GB"/>
        </w:rPr>
        <w:t xml:space="preserve">Freedom, a key term in the book’s conclusion, is not offered as a full philosophical treatise but as a shared horizon: the freedom to live without fear of violence, pathologization, discrimination, or criminalization. Butler appeals to trans-exclusionary feminists by pointing out that their own desires—to move safely at night, to work or study without harassment—align with the aspirations of trans, </w:t>
      </w:r>
      <w:proofErr w:type="spellStart"/>
      <w:r w:rsidRPr="006B2AB0">
        <w:rPr>
          <w:lang w:val="en-GB"/>
        </w:rPr>
        <w:t>travesti</w:t>
      </w:r>
      <w:proofErr w:type="spellEnd"/>
      <w:r w:rsidRPr="006B2AB0">
        <w:rPr>
          <w:lang w:val="en-GB"/>
        </w:rPr>
        <w:t xml:space="preserve">, gay, and lesbian people. Freedom here is inseparable from equality and is fundamentally collective; it is not merely an individual or market-inflected liberty. Framing gender, race, and sexuality as “identity issues” that fragment the left misses their democratic stakes, especially as </w:t>
      </w:r>
      <w:r w:rsidRPr="006B2AB0">
        <w:rPr>
          <w:lang w:val="en-GB"/>
        </w:rPr>
        <w:lastRenderedPageBreak/>
        <w:t>anti-gender campaigns synchronize with attacks on universities, curricula (e.g., slavery, Black studies), and democratic norms. The emotional mobilization around gender and migration—what Butler calls “fascist passions”—is pivotal to authoritarian projects.</w:t>
      </w:r>
    </w:p>
    <w:p w14:paraId="0E5BE64B" w14:textId="77777777" w:rsidR="006B2AB0" w:rsidRPr="006B2AB0" w:rsidRDefault="006B2AB0" w:rsidP="006B2AB0">
      <w:pPr>
        <w:rPr>
          <w:lang w:val="en-GB"/>
        </w:rPr>
      </w:pPr>
      <w:r w:rsidRPr="006B2AB0">
        <w:rPr>
          <w:lang w:val="en-GB"/>
        </w:rPr>
        <w:t xml:space="preserve">The discussion also addressed the strategic appropriation of anti-colonial critique by right-wing and religious authorities. For example, when the Vatican denounces “gender ideology” as cultural imperialism exported to Latin America, it repackages left anti-colonial language to justify restoring a Christian, heteronormative colonial order. Butler distinguishes that cynical appropriation from genuine decolonial feminist work and argues for multilingual, translational frameworks, noting that “gender” does not map cleanly onto all languages or </w:t>
      </w:r>
      <w:proofErr w:type="spellStart"/>
      <w:r w:rsidRPr="006B2AB0">
        <w:rPr>
          <w:lang w:val="en-GB"/>
        </w:rPr>
        <w:t>lifeworlds</w:t>
      </w:r>
      <w:proofErr w:type="spellEnd"/>
      <w:r w:rsidRPr="006B2AB0">
        <w:rPr>
          <w:lang w:val="en-GB"/>
        </w:rPr>
        <w:t>.</w:t>
      </w:r>
    </w:p>
    <w:p w14:paraId="769E89CF" w14:textId="77777777" w:rsidR="006B2AB0" w:rsidRPr="006B2AB0" w:rsidRDefault="006B2AB0" w:rsidP="006B2AB0">
      <w:pPr>
        <w:rPr>
          <w:lang w:val="en-GB"/>
        </w:rPr>
      </w:pPr>
      <w:r w:rsidRPr="006B2AB0">
        <w:rPr>
          <w:lang w:val="en-GB"/>
        </w:rPr>
        <w:t>On psychoanalysis, Butler defends its usefulness—when reworked—to understand how contradictory claims hold together within a fantasy structure. Their “psycho-social” method links psyche to history and politics, rather than isolating individual psychology from social structure.</w:t>
      </w:r>
    </w:p>
    <w:p w14:paraId="3B19BDBD" w14:textId="77777777" w:rsidR="006B2AB0" w:rsidRPr="006B2AB0" w:rsidRDefault="006B2AB0" w:rsidP="006B2AB0">
      <w:pPr>
        <w:rPr>
          <w:lang w:val="en-GB"/>
        </w:rPr>
      </w:pPr>
      <w:r w:rsidRPr="006B2AB0">
        <w:rPr>
          <w:lang w:val="en-GB"/>
        </w:rPr>
        <w:t>Questions about non-binary stigma and the burden of “educating” others prompted a practical stance: people should not have to be perpetual instructors. Curiosity can be met with reading lists and cultural resources; solidarity requires giving each other space to live in language differently. Regarding high-profile trans-exclusionary feminists (e.g., in the UK), Butler refuses their preferred label “gender-critical,” arguing their positions are not “critical” in any meaningful sense. Rather than trading invective, they suggest naming the fears at stake—appropriation, violation, effacement—and seeking coexistence without harm, though they concede the difficulty of such conversations in the current climate.</w:t>
      </w:r>
    </w:p>
    <w:p w14:paraId="6590D918" w14:textId="77777777" w:rsidR="006B2AB0" w:rsidRPr="006B2AB0" w:rsidRDefault="006B2AB0" w:rsidP="006B2AB0">
      <w:pPr>
        <w:rPr>
          <w:lang w:val="en-GB"/>
        </w:rPr>
      </w:pPr>
      <w:r w:rsidRPr="006B2AB0">
        <w:rPr>
          <w:lang w:val="en-GB"/>
        </w:rPr>
        <w:t>In closing, despite intensified criminalization, truth distortions, authoritarian backlashes (including in places once thought hopeful, like Argentina), and extreme resource inequality, Butler locates potential in underfunded but brave social movements; in the million-strong mobilizations that still fill streets; in solidarities that link environmental, anti-racist, queer, trans, migrant-rights, abolitionist, and pro-Palestinian struggles; and in art and poetry that recast the sensible world. Renewed socialist ideals—this time without patriarchal grip—also matter. If freedom can become “the air we breathe together,” it will be because these solidarities persist, think clearly, and refuse the fantasies that organize fear into hatred.</w:t>
      </w:r>
    </w:p>
    <w:p w14:paraId="1DD68BC0" w14:textId="77777777" w:rsidR="005D01FF" w:rsidRDefault="005D01FF">
      <w:pPr>
        <w:rPr>
          <w:lang w:val="en-GB"/>
        </w:rPr>
      </w:pPr>
    </w:p>
    <w:p w14:paraId="3E1571AD" w14:textId="77A3D6EA" w:rsidR="006B2AB0" w:rsidRDefault="006B2AB0">
      <w:pPr>
        <w:rPr>
          <w:lang w:val="fr-BE"/>
        </w:rPr>
      </w:pPr>
      <w:r w:rsidRPr="006B2AB0">
        <w:rPr>
          <w:lang w:val="fr-BE"/>
        </w:rPr>
        <w:t xml:space="preserve">Source: </w:t>
      </w:r>
      <w:hyperlink r:id="rId4" w:history="1">
        <w:r w:rsidRPr="00C97EAF">
          <w:rPr>
            <w:rStyle w:val="Hyperlink"/>
            <w:lang w:val="fr-BE"/>
          </w:rPr>
          <w:t>https://www.youtube.com/watch?v=ChLv2wK0Eqs</w:t>
        </w:r>
      </w:hyperlink>
    </w:p>
    <w:p w14:paraId="6DEC8F9A" w14:textId="77777777" w:rsidR="006B2AB0" w:rsidRPr="006B2AB0" w:rsidRDefault="006B2AB0">
      <w:pPr>
        <w:rPr>
          <w:lang w:val="fr-BE"/>
        </w:rPr>
      </w:pPr>
    </w:p>
    <w:sectPr w:rsidR="006B2AB0" w:rsidRPr="006B2A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1FF"/>
    <w:rsid w:val="001C43BC"/>
    <w:rsid w:val="005D01FF"/>
    <w:rsid w:val="006B2AB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076FF"/>
  <w15:chartTrackingRefBased/>
  <w15:docId w15:val="{8422939E-F1D4-4814-8054-DBB8578BB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01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01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01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01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01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01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01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01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01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01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01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01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01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01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01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01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01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01FF"/>
    <w:rPr>
      <w:rFonts w:eastAsiaTheme="majorEastAsia" w:cstheme="majorBidi"/>
      <w:color w:val="272727" w:themeColor="text1" w:themeTint="D8"/>
    </w:rPr>
  </w:style>
  <w:style w:type="paragraph" w:styleId="Title">
    <w:name w:val="Title"/>
    <w:basedOn w:val="Normal"/>
    <w:next w:val="Normal"/>
    <w:link w:val="TitleChar"/>
    <w:uiPriority w:val="10"/>
    <w:qFormat/>
    <w:rsid w:val="005D01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01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01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01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01FF"/>
    <w:pPr>
      <w:spacing w:before="160"/>
      <w:jc w:val="center"/>
    </w:pPr>
    <w:rPr>
      <w:i/>
      <w:iCs/>
      <w:color w:val="404040" w:themeColor="text1" w:themeTint="BF"/>
    </w:rPr>
  </w:style>
  <w:style w:type="character" w:customStyle="1" w:styleId="QuoteChar">
    <w:name w:val="Quote Char"/>
    <w:basedOn w:val="DefaultParagraphFont"/>
    <w:link w:val="Quote"/>
    <w:uiPriority w:val="29"/>
    <w:rsid w:val="005D01FF"/>
    <w:rPr>
      <w:i/>
      <w:iCs/>
      <w:color w:val="404040" w:themeColor="text1" w:themeTint="BF"/>
    </w:rPr>
  </w:style>
  <w:style w:type="paragraph" w:styleId="ListParagraph">
    <w:name w:val="List Paragraph"/>
    <w:basedOn w:val="Normal"/>
    <w:uiPriority w:val="34"/>
    <w:qFormat/>
    <w:rsid w:val="005D01FF"/>
    <w:pPr>
      <w:ind w:left="720"/>
      <w:contextualSpacing/>
    </w:pPr>
  </w:style>
  <w:style w:type="character" w:styleId="IntenseEmphasis">
    <w:name w:val="Intense Emphasis"/>
    <w:basedOn w:val="DefaultParagraphFont"/>
    <w:uiPriority w:val="21"/>
    <w:qFormat/>
    <w:rsid w:val="005D01FF"/>
    <w:rPr>
      <w:i/>
      <w:iCs/>
      <w:color w:val="0F4761" w:themeColor="accent1" w:themeShade="BF"/>
    </w:rPr>
  </w:style>
  <w:style w:type="paragraph" w:styleId="IntenseQuote">
    <w:name w:val="Intense Quote"/>
    <w:basedOn w:val="Normal"/>
    <w:next w:val="Normal"/>
    <w:link w:val="IntenseQuoteChar"/>
    <w:uiPriority w:val="30"/>
    <w:qFormat/>
    <w:rsid w:val="005D01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01FF"/>
    <w:rPr>
      <w:i/>
      <w:iCs/>
      <w:color w:val="0F4761" w:themeColor="accent1" w:themeShade="BF"/>
    </w:rPr>
  </w:style>
  <w:style w:type="character" w:styleId="IntenseReference">
    <w:name w:val="Intense Reference"/>
    <w:basedOn w:val="DefaultParagraphFont"/>
    <w:uiPriority w:val="32"/>
    <w:qFormat/>
    <w:rsid w:val="005D01FF"/>
    <w:rPr>
      <w:b/>
      <w:bCs/>
      <w:smallCaps/>
      <w:color w:val="0F4761" w:themeColor="accent1" w:themeShade="BF"/>
      <w:spacing w:val="5"/>
    </w:rPr>
  </w:style>
  <w:style w:type="character" w:styleId="Hyperlink">
    <w:name w:val="Hyperlink"/>
    <w:basedOn w:val="DefaultParagraphFont"/>
    <w:uiPriority w:val="99"/>
    <w:unhideWhenUsed/>
    <w:rsid w:val="006B2AB0"/>
    <w:rPr>
      <w:color w:val="467886" w:themeColor="hyperlink"/>
      <w:u w:val="single"/>
    </w:rPr>
  </w:style>
  <w:style w:type="character" w:styleId="UnresolvedMention">
    <w:name w:val="Unresolved Mention"/>
    <w:basedOn w:val="DefaultParagraphFont"/>
    <w:uiPriority w:val="99"/>
    <w:semiHidden/>
    <w:unhideWhenUsed/>
    <w:rsid w:val="006B2A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youtube.com/watch?v=ChLv2wK0Eq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1288</Words>
  <Characters>7347</Characters>
  <Application>Microsoft Office Word</Application>
  <DocSecurity>0</DocSecurity>
  <Lines>61</Lines>
  <Paragraphs>17</Paragraphs>
  <ScaleCrop>false</ScaleCrop>
  <Company/>
  <LinksUpToDate>false</LinksUpToDate>
  <CharactersWithSpaces>8618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PAOLILLO Stefano (UCC-Teacher)</dc:creator>
  <cp:keywords/>
  <dc:description/>
  <cp:lastModifiedBy>PAOLILLO Stefano (UCC-Teacher)</cp:lastModifiedBy>
  <cp:revision>2</cp:revision>
  <dcterms:created xsi:type="dcterms:W3CDTF">2025-10-10T10:59:00Z</dcterms:created>
  <dcterms:modified xsi:type="dcterms:W3CDTF">2025-10-10T11:01:00Z</dcterms:modified>
</cp:coreProperties>
</file>